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sz w:val="22"/>
          <w:szCs w:val="22"/>
        </w:rPr>
        <w:t>作</w:t>
      </w:r>
      <w:r>
        <w:rPr>
          <w:color w:val="FFFFFF"/>
          <w:sz w:val="22"/>
          <w:szCs w:val="22"/>
        </w:rPr>
        <w:t>｜</w:t>
      </w:r>
      <w:r>
        <w:rPr>
          <w:sz w:val="22"/>
          <w:szCs w:val="22"/>
        </w:rPr>
        <w:t>者：</w:t>
      </w:r>
      <w:bookmarkStart w:id="0" w:name="_GoBack"/>
      <w:bookmarkEnd w:id="0"/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李德庆，中国大唐集团有限公司高级经济师。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</w:p>
    <w:p>
      <w:pPr>
        <w:adjustRightInd w:val="0"/>
        <w:snapToGrid w:val="0"/>
        <w:spacing w:line="260" w:lineRule="exact"/>
        <w:rPr>
          <w:rFonts w:hint="eastAsia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2"/>
          <w:szCs w:val="22"/>
          <w:lang w:val="en-US" w:eastAsia="zh-CN" w:bidi="ar"/>
        </w:rPr>
        <w:t>摘</w:t>
      </w:r>
      <w:r>
        <w:rPr>
          <w:rFonts w:asciiTheme="minorHAnsi" w:hAnsiTheme="minorHAnsi" w:eastAsiaTheme="minorEastAsia" w:cstheme="minorBidi"/>
          <w:color w:val="FFFFFF" w:themeColor="background1"/>
          <w:kern w:val="0"/>
          <w:sz w:val="22"/>
          <w:szCs w:val="22"/>
          <w:lang w:val="en-US" w:eastAsia="zh-CN" w:bidi="ar"/>
          <w14:textFill>
            <w14:solidFill>
              <w14:schemeClr w14:val="bg1"/>
            </w14:solidFill>
          </w14:textFill>
        </w:rPr>
        <w:t>｜</w:t>
      </w:r>
      <w:r>
        <w:rPr>
          <w:rFonts w:asciiTheme="minorHAnsi" w:hAnsiTheme="minorHAnsi" w:eastAsiaTheme="minorEastAsia" w:cstheme="minorBidi"/>
          <w:kern w:val="0"/>
          <w:sz w:val="22"/>
          <w:szCs w:val="22"/>
          <w:lang w:val="en-US" w:eastAsia="zh-CN" w:bidi="ar"/>
        </w:rPr>
        <w:t>要：</w:t>
      </w:r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在应收账款质押的情况下，债务人如何行使抵销权尚存在一些有待厘清的问题。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在用以抵销的主动债权范围方面，债务人的抵销应准用债权转让情况下债务人抵销的规则，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不一定限于同种债权，也不限于已到期的确定债权，执行程序中的抵销条件限制应当由法官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自由裁量予以缓和。应收账款质押通知具有与登记不同的意义，质押通知对债务人持有无关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联的主动债权抵销具有限制作用，有利于保全质权的实现。与被动债权紧密联系的主动债权，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 xml:space="preserve">债务人的抵销并不受通知的影响，确认紧密联系主动债权的范围应赋予法官自由裁量权。在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应收账款转让、质押、扣押等并存的情况下，债务人的抵销仍在于时间因素和关联因素。</w:t>
      </w:r>
    </w:p>
    <w:p>
      <w:pPr>
        <w:pStyle w:val="5"/>
        <w:pBdr>
          <w:top w:val="none" w:color="auto" w:sz="0" w:space="0"/>
        </w:pBdr>
        <w:spacing w:line="247" w:lineRule="auto"/>
        <w:ind w:left="0" w:leftChars="0" w:firstLine="0" w:firstLineChars="0"/>
        <w:rPr>
          <w:rFonts w:hint="eastAsia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</w:p>
    <w:p>
      <w:pPr>
        <w:pStyle w:val="5"/>
        <w:pBdr>
          <w:top w:val="none" w:color="auto" w:sz="0" w:space="0"/>
        </w:pBdr>
        <w:spacing w:line="247" w:lineRule="auto"/>
        <w:ind w:left="0" w:leftChars="0" w:firstLine="0" w:firstLineChars="0"/>
        <w:rPr>
          <w:rFonts w:hint="eastAsia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2"/>
          <w:szCs w:val="22"/>
          <w:lang w:val="en-US" w:eastAsia="zh-CN" w:bidi="ar"/>
        </w:rPr>
        <w:t>关键词</w:t>
      </w:r>
      <w:r>
        <w:rPr>
          <w:rFonts w:hint="eastAsia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：</w:t>
      </w:r>
      <w:r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  <w:t>应收账款质押；抵销；通知；登记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</w:p>
    <w:p>
      <w:pPr>
        <w:pStyle w:val="5"/>
        <w:pBdr>
          <w:top w:val="none" w:color="auto" w:sz="0" w:space="0"/>
        </w:pBdr>
        <w:ind w:left="0" w:leftChars="0" w:firstLine="0" w:firstLineChars="0"/>
        <w:rPr>
          <w:rFonts w:hint="eastAsia"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</w:p>
    <w:p>
      <w:pPr>
        <w:pStyle w:val="5"/>
        <w:pBdr>
          <w:top w:val="none" w:color="auto" w:sz="0" w:space="0"/>
        </w:pBdr>
        <w:ind w:left="0" w:leftChars="0" w:firstLine="0" w:firstLineChars="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libri Light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EU-HZ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中等线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准黑简体">
    <w:altName w:val="苹方-简"/>
    <w:panose1 w:val="02000000000000000000"/>
    <w:charset w:val="00"/>
    <w:family w:val="auto"/>
    <w:pitch w:val="default"/>
    <w:sig w:usb0="00000000" w:usb1="00000000" w:usb2="0000001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中倩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方正兰亭细黑_GBK">
    <w:altName w:val="苹方-简"/>
    <w:panose1 w:val="02000000000000000000"/>
    <w:charset w:val="00"/>
    <w:family w:val="auto"/>
    <w:pitch w:val="default"/>
    <w:sig w:usb0="00000000" w:usb1="00000000" w:usb2="00000016" w:usb3="00000000" w:csb0="00060007" w:csb1="00000000"/>
  </w:font>
  <w:font w:name="EU-FZ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PMingLiU">
    <w:altName w:val="宋体-繁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Italic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Times New Roman (正文 CS 字体)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FZKTK--GBK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7CFAB"/>
    <w:rsid w:val="5FF74AC3"/>
    <w:rsid w:val="75F7946B"/>
    <w:rsid w:val="76BB23C1"/>
    <w:rsid w:val="FB4D6101"/>
    <w:rsid w:val="FEB7C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摘要"/>
    <w:basedOn w:val="1"/>
    <w:qFormat/>
    <w:uiPriority w:val="99"/>
    <w:pPr>
      <w:pBdr>
        <w:top w:val="single" w:color="auto" w:sz="4" w:space="0"/>
      </w:pBdr>
      <w:overflowPunct w:val="0"/>
      <w:ind w:left="425" w:right="425" w:firstLine="404" w:firstLineChars="200"/>
    </w:pPr>
    <w:rPr>
      <w:rFonts w:eastAsia="方正楷体_GBK" w:cs="楷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2022-01-21T05:05:00Z</dcterms:created>
  <dc:creator>junyan</dc:creator>
  <cp:lastModifiedBy>junyan</cp:lastModifiedBy>
  <dcterms:modified xsi:type="dcterms:W3CDTF">2022-01-23T17:56:17Z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